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1A3" w:rsidRPr="003751A3" w:rsidRDefault="003751A3" w:rsidP="003751A3">
      <w:pPr>
        <w:pStyle w:val="1"/>
        <w:spacing w:before="183" w:line="326" w:lineRule="auto"/>
        <w:rPr>
          <w:rFonts w:asciiTheme="minorEastAsia" w:eastAsiaTheme="minorEastAsia" w:hAnsiTheme="minorEastAsia"/>
          <w:sz w:val="21"/>
          <w:szCs w:val="21"/>
          <w:lang w:eastAsia="zh-CN"/>
        </w:rPr>
      </w:pPr>
      <w:r w:rsidRPr="003751A3">
        <w:rPr>
          <w:rFonts w:hint="eastAsia"/>
          <w:sz w:val="21"/>
          <w:szCs w:val="21"/>
          <w:lang w:eastAsia="zh-CN"/>
        </w:rPr>
        <w:t>第十一届“板桥杯”（</w:t>
      </w:r>
      <w:r w:rsidRPr="003751A3">
        <w:rPr>
          <w:rFonts w:hint="eastAsia"/>
          <w:i/>
          <w:sz w:val="21"/>
          <w:szCs w:val="21"/>
          <w:lang w:eastAsia="zh-CN"/>
        </w:rPr>
        <w:t>Bambridge</w:t>
      </w:r>
      <w:r w:rsidRPr="003751A3">
        <w:rPr>
          <w:rFonts w:hint="eastAsia"/>
          <w:sz w:val="21"/>
          <w:szCs w:val="21"/>
          <w:lang w:eastAsia="zh-CN"/>
        </w:rPr>
        <w:t>）青年翻译竞赛笔译</w:t>
      </w:r>
      <w:r w:rsidRPr="003751A3">
        <w:rPr>
          <w:rFonts w:asciiTheme="minorEastAsia" w:eastAsiaTheme="minorEastAsia" w:hAnsiTheme="minorEastAsia" w:hint="eastAsia"/>
          <w:sz w:val="21"/>
          <w:szCs w:val="21"/>
          <w:lang w:eastAsia="zh-CN"/>
        </w:rPr>
        <w:t>原文</w:t>
      </w:r>
    </w:p>
    <w:p w:rsidR="003751A3" w:rsidRPr="003751A3" w:rsidRDefault="003751A3" w:rsidP="003751A3">
      <w:pPr>
        <w:rPr>
          <w:rFonts w:eastAsiaTheme="minorEastAsia" w:hint="eastAsia"/>
          <w:lang w:eastAsia="zh-CN"/>
        </w:rPr>
      </w:pPr>
    </w:p>
    <w:p w:rsidR="00643CB6" w:rsidRPr="003751A3" w:rsidRDefault="00CD5FD1" w:rsidP="003751A3">
      <w:pPr>
        <w:jc w:val="center"/>
        <w:rPr>
          <w:rFonts w:eastAsia="Arial"/>
          <w:sz w:val="28"/>
          <w:szCs w:val="28"/>
        </w:rPr>
      </w:pPr>
      <w:r w:rsidRPr="003751A3">
        <w:rPr>
          <w:sz w:val="28"/>
          <w:szCs w:val="28"/>
        </w:rPr>
        <w:t>The</w:t>
      </w:r>
      <w:r w:rsidR="003751A3" w:rsidRPr="003751A3">
        <w:rPr>
          <w:sz w:val="28"/>
          <w:szCs w:val="28"/>
        </w:rPr>
        <w:t xml:space="preserve"> </w:t>
      </w:r>
      <w:r w:rsidRPr="003751A3">
        <w:rPr>
          <w:sz w:val="28"/>
          <w:szCs w:val="28"/>
        </w:rPr>
        <w:t>Power</w:t>
      </w:r>
      <w:r w:rsidR="003751A3" w:rsidRPr="003751A3">
        <w:rPr>
          <w:sz w:val="28"/>
          <w:szCs w:val="28"/>
        </w:rPr>
        <w:t xml:space="preserve"> </w:t>
      </w:r>
      <w:r w:rsidRPr="003751A3">
        <w:rPr>
          <w:sz w:val="28"/>
          <w:szCs w:val="28"/>
        </w:rPr>
        <w:t>of Amphibious Operations in the 21</w:t>
      </w:r>
      <w:r w:rsidRPr="003751A3">
        <w:rPr>
          <w:sz w:val="28"/>
          <w:szCs w:val="28"/>
          <w:vertAlign w:val="superscript"/>
        </w:rPr>
        <w:t>st</w:t>
      </w:r>
      <w:r w:rsidR="003751A3">
        <w:rPr>
          <w:sz w:val="28"/>
          <w:szCs w:val="28"/>
        </w:rPr>
        <w:t xml:space="preserve"> </w:t>
      </w:r>
      <w:r w:rsidRPr="003751A3">
        <w:rPr>
          <w:sz w:val="28"/>
          <w:szCs w:val="28"/>
        </w:rPr>
        <w:t>Century</w:t>
      </w:r>
    </w:p>
    <w:p w:rsidR="00643CB6" w:rsidRPr="003751A3" w:rsidRDefault="00CD5FD1" w:rsidP="003751A3">
      <w:pPr>
        <w:spacing w:before="51"/>
        <w:ind w:left="120"/>
        <w:jc w:val="center"/>
        <w:rPr>
          <w:sz w:val="24"/>
          <w:szCs w:val="24"/>
        </w:rPr>
      </w:pPr>
      <w:r w:rsidRPr="003751A3">
        <w:rPr>
          <w:sz w:val="24"/>
          <w:szCs w:val="24"/>
        </w:rPr>
        <w:t>By Daniel Gouré</w:t>
      </w:r>
    </w:p>
    <w:p w:rsidR="003751A3" w:rsidRPr="003751A3" w:rsidRDefault="003751A3" w:rsidP="003751A3">
      <w:pPr>
        <w:spacing w:before="51"/>
        <w:ind w:left="120"/>
        <w:jc w:val="center"/>
        <w:rPr>
          <w:rFonts w:eastAsiaTheme="minorEastAsia"/>
          <w:sz w:val="21"/>
          <w:szCs w:val="21"/>
          <w:lang w:eastAsia="zh-CN"/>
        </w:rPr>
      </w:pPr>
    </w:p>
    <w:p w:rsidR="00643CB6" w:rsidRPr="00F509F7" w:rsidRDefault="00CD5FD1" w:rsidP="00CD5FD1">
      <w:pPr>
        <w:pStyle w:val="a3"/>
        <w:spacing w:line="320" w:lineRule="exact"/>
        <w:ind w:left="119" w:firstLineChars="150" w:firstLine="315"/>
        <w:jc w:val="both"/>
        <w:rPr>
          <w:sz w:val="21"/>
          <w:szCs w:val="21"/>
        </w:rPr>
      </w:pPr>
      <w:r w:rsidRPr="003751A3">
        <w:rPr>
          <w:sz w:val="21"/>
          <w:szCs w:val="21"/>
        </w:rPr>
        <w:t>Predicting the demise of amphibious warfare has been a hob</w:t>
      </w:r>
      <w:r w:rsidRPr="00F509F7">
        <w:rPr>
          <w:sz w:val="21"/>
          <w:szCs w:val="21"/>
        </w:rPr>
        <w:t>by for many military historians, defense analysts and even veterans. The advent of new military capabilities, such as jet aircraft, quiet attack submarines, ballistic and cruise missiles, long-range intelligence, surveillance and reconnaissance and, of course, nuclear weapons, repeatedly caused the U.S. defense establishment to question the feasibility of</w:t>
      </w:r>
      <w:r w:rsidR="00F509F7" w:rsidRPr="00F509F7">
        <w:rPr>
          <w:rFonts w:hint="eastAsia"/>
          <w:sz w:val="21"/>
          <w:szCs w:val="21"/>
        </w:rPr>
        <w:t xml:space="preserve"> </w:t>
      </w:r>
      <w:r w:rsidRPr="00F509F7">
        <w:rPr>
          <w:sz w:val="21"/>
          <w:szCs w:val="21"/>
        </w:rPr>
        <w:t>large-scale amphibious operations. Most recently, critics point to the rise of so-called anti-access/area denial (A2/AD) capabilities.</w:t>
      </w:r>
    </w:p>
    <w:p w:rsidR="00643CB6" w:rsidRPr="00F509F7" w:rsidRDefault="00CD5FD1" w:rsidP="00CD5FD1">
      <w:pPr>
        <w:pStyle w:val="a3"/>
        <w:spacing w:line="320" w:lineRule="exact"/>
        <w:ind w:left="119" w:firstLineChars="150" w:firstLine="315"/>
        <w:jc w:val="both"/>
        <w:rPr>
          <w:sz w:val="21"/>
          <w:szCs w:val="21"/>
        </w:rPr>
      </w:pPr>
      <w:r w:rsidRPr="00F509F7">
        <w:rPr>
          <w:sz w:val="21"/>
          <w:szCs w:val="21"/>
        </w:rPr>
        <w:t>However, to paraphrase Mark Twain, reports of the death of amphibious warfare have always been greatly exaggerated. Historically, amphibious operations evolved in response to the rise of new defensive capabilities. In many instances, the same technologies were</w:t>
      </w:r>
      <w:bookmarkStart w:id="0" w:name="_GoBack"/>
      <w:bookmarkEnd w:id="0"/>
      <w:r w:rsidRPr="00F509F7">
        <w:rPr>
          <w:sz w:val="21"/>
          <w:szCs w:val="21"/>
        </w:rPr>
        <w:t xml:space="preserve"> employed both by the amphibious assault forces and by the defenders on the beach.</w:t>
      </w:r>
    </w:p>
    <w:p w:rsidR="00643CB6" w:rsidRPr="00F509F7" w:rsidRDefault="00CD5FD1" w:rsidP="00CD5FD1">
      <w:pPr>
        <w:pStyle w:val="a3"/>
        <w:spacing w:line="320" w:lineRule="exact"/>
        <w:ind w:left="119" w:firstLineChars="150" w:firstLine="315"/>
        <w:jc w:val="both"/>
        <w:rPr>
          <w:sz w:val="21"/>
          <w:szCs w:val="21"/>
        </w:rPr>
      </w:pPr>
      <w:r w:rsidRPr="00F509F7">
        <w:rPr>
          <w:sz w:val="21"/>
          <w:szCs w:val="21"/>
        </w:rPr>
        <w:t>Those concerned about the anti-ship cruise missile threat to U.S. amphibious forces should recall that during the battle of Okinawa, the U.S. Navy’s Fifth Fleet experienced some 4,000 Japanese air strikes, including nearly 2,000 by the 1944 equivalent of a cruise missile, the kamikaze. The current A2/AD challenge is only the latest turn of the great offense-defense wheel.</w:t>
      </w:r>
    </w:p>
    <w:p w:rsidR="00643CB6" w:rsidRPr="00F509F7" w:rsidRDefault="00CD5FD1" w:rsidP="00CD5FD1">
      <w:pPr>
        <w:pStyle w:val="a3"/>
        <w:spacing w:line="320" w:lineRule="exact"/>
        <w:ind w:left="119" w:firstLineChars="150" w:firstLine="315"/>
        <w:jc w:val="both"/>
        <w:rPr>
          <w:sz w:val="21"/>
          <w:szCs w:val="21"/>
        </w:rPr>
      </w:pPr>
      <w:r w:rsidRPr="00F509F7">
        <w:rPr>
          <w:sz w:val="21"/>
          <w:szCs w:val="21"/>
        </w:rPr>
        <w:t>It is worth pointing out that in modern times most amphibious operations have been successful in terms of achieving operational surprise, defeating shore defenses and putting a large number of troops and equipment ashore. The number of modern</w:t>
      </w:r>
      <w:r w:rsidR="00F509F7" w:rsidRPr="00F509F7">
        <w:rPr>
          <w:rFonts w:hint="eastAsia"/>
          <w:sz w:val="21"/>
          <w:szCs w:val="21"/>
        </w:rPr>
        <w:t xml:space="preserve"> </w:t>
      </w:r>
      <w:r w:rsidRPr="00F509F7">
        <w:rPr>
          <w:sz w:val="21"/>
          <w:szCs w:val="21"/>
        </w:rPr>
        <w:t>amphibious operations that were defeated on beaches can be counted on one hand. A larger number, but still a relative handful, failed to exploit an initial, successful landing by moving inland and thus were bottled up on the beachhead.</w:t>
      </w:r>
    </w:p>
    <w:p w:rsidR="00643CB6" w:rsidRPr="00F509F7" w:rsidRDefault="00CD5FD1" w:rsidP="00CD5FD1">
      <w:pPr>
        <w:pStyle w:val="a3"/>
        <w:spacing w:line="320" w:lineRule="exact"/>
        <w:ind w:left="119" w:firstLineChars="150" w:firstLine="315"/>
        <w:jc w:val="both"/>
        <w:rPr>
          <w:sz w:val="21"/>
          <w:szCs w:val="21"/>
        </w:rPr>
      </w:pPr>
      <w:r w:rsidRPr="00F509F7">
        <w:rPr>
          <w:sz w:val="21"/>
          <w:szCs w:val="21"/>
        </w:rPr>
        <w:t>Major amphibious operations profoundly changed the course of the conflict in a major theater. Examples of such operations include the Japanese campaigns in Malaya and the Philippines, the Allied landings in North Africa, Sicily, Salerno and Normandy, MacArthur’s campaign in the Southwest Pacific, the Inchon landing during the Korean War and the British liberation on the Falkland Islands.</w:t>
      </w:r>
    </w:p>
    <w:p w:rsidR="00643CB6" w:rsidRPr="00F509F7" w:rsidRDefault="00CD5FD1" w:rsidP="00CD5FD1">
      <w:pPr>
        <w:pStyle w:val="a3"/>
        <w:spacing w:line="320" w:lineRule="exact"/>
        <w:ind w:left="119" w:firstLineChars="150" w:firstLine="315"/>
        <w:jc w:val="both"/>
        <w:rPr>
          <w:sz w:val="21"/>
          <w:szCs w:val="21"/>
        </w:rPr>
      </w:pPr>
      <w:r w:rsidRPr="00F509F7">
        <w:rPr>
          <w:sz w:val="21"/>
          <w:szCs w:val="21"/>
        </w:rPr>
        <w:t>Ironically, the rise of the A2/AD threat only served to increase the value of amphibious forces. After the end of the Cold War, the U.S. withdrew most forward-deployed forces from Europe and East Asia, preferring a posture based on</w:t>
      </w:r>
      <w:r w:rsidR="00F509F7" w:rsidRPr="00F509F7">
        <w:rPr>
          <w:rFonts w:hint="eastAsia"/>
          <w:sz w:val="21"/>
          <w:szCs w:val="21"/>
        </w:rPr>
        <w:t xml:space="preserve"> </w:t>
      </w:r>
      <w:r w:rsidRPr="00F509F7">
        <w:rPr>
          <w:sz w:val="21"/>
          <w:szCs w:val="21"/>
        </w:rPr>
        <w:t>expeditionary deployments from the continental U.S. With the rise of high-end threats in regions of interest, the U.S. faced a serious challenge to its access regions.</w:t>
      </w:r>
    </w:p>
    <w:p w:rsidR="00643CB6" w:rsidRPr="00F509F7" w:rsidRDefault="00CD5FD1" w:rsidP="00CD5FD1">
      <w:pPr>
        <w:pStyle w:val="a3"/>
        <w:spacing w:line="320" w:lineRule="exact"/>
        <w:ind w:left="119" w:firstLineChars="150" w:firstLine="315"/>
        <w:jc w:val="both"/>
        <w:rPr>
          <w:sz w:val="21"/>
          <w:szCs w:val="21"/>
        </w:rPr>
      </w:pPr>
      <w:r w:rsidRPr="00F509F7">
        <w:rPr>
          <w:sz w:val="21"/>
          <w:szCs w:val="21"/>
        </w:rPr>
        <w:t>The military needs to find ways around the A2/AD threat. Part of the answer will be technological. But as former Deputy Secretary of Defense Robert Work observed, success against an adversary with robust A2/AD capabilities will also require agile maneuver by amphibious forces, including large forcible entry operations.</w:t>
      </w:r>
    </w:p>
    <w:p w:rsidR="00643CB6" w:rsidRPr="00F509F7" w:rsidRDefault="00CD5FD1" w:rsidP="00CD5FD1">
      <w:pPr>
        <w:pStyle w:val="a3"/>
        <w:spacing w:line="320" w:lineRule="exact"/>
        <w:ind w:left="119" w:firstLineChars="150" w:firstLine="315"/>
        <w:jc w:val="both"/>
        <w:rPr>
          <w:sz w:val="21"/>
          <w:szCs w:val="21"/>
        </w:rPr>
      </w:pPr>
      <w:r w:rsidRPr="00F509F7">
        <w:rPr>
          <w:sz w:val="21"/>
          <w:szCs w:val="21"/>
        </w:rPr>
        <w:t>Amphibious Ready Groups (ARGs) and their embarked Marine Expeditionary Units (MEUs) could be particularly useful in countering A2/AD systems. Forward deployed ARG/MEUs would be inside an adversary’s defensive umbrella. This might seem to be a vulnerable position, but, if properly sized and equipped, these formations could act from the opening of hostilities to blow holes in enemy defenses.</w:t>
      </w:r>
    </w:p>
    <w:p w:rsidR="00643CB6" w:rsidRPr="00F509F7" w:rsidRDefault="00CD5FD1" w:rsidP="00846CCF">
      <w:pPr>
        <w:pStyle w:val="a3"/>
        <w:spacing w:line="320" w:lineRule="exact"/>
        <w:ind w:left="119" w:firstLineChars="150" w:firstLine="315"/>
        <w:jc w:val="both"/>
        <w:rPr>
          <w:sz w:val="21"/>
          <w:szCs w:val="21"/>
        </w:rPr>
      </w:pPr>
      <w:r w:rsidRPr="00F509F7">
        <w:rPr>
          <w:sz w:val="21"/>
          <w:szCs w:val="21"/>
        </w:rPr>
        <w:t xml:space="preserve">In addition to defeating hostile A2/AD systems, U.S. combatant commands will need to create their own version of an A2/AD “umbrella” in support of forward-deployed forces and allies and to deny an enemy’s ability to attack our air and sea lines of communications. The currently fashionable </w:t>
      </w:r>
      <w:r w:rsidRPr="00F509F7">
        <w:rPr>
          <w:sz w:val="21"/>
          <w:szCs w:val="21"/>
        </w:rPr>
        <w:lastRenderedPageBreak/>
        <w:t>concept of Multi-Domain Battle envisions</w:t>
      </w:r>
      <w:r w:rsidR="00846CCF">
        <w:rPr>
          <w:rFonts w:eastAsiaTheme="minorEastAsia" w:hint="eastAsia"/>
          <w:sz w:val="21"/>
          <w:szCs w:val="21"/>
          <w:lang w:eastAsia="zh-CN"/>
        </w:rPr>
        <w:t xml:space="preserve"> </w:t>
      </w:r>
      <w:r w:rsidRPr="00F509F7">
        <w:rPr>
          <w:sz w:val="21"/>
          <w:szCs w:val="21"/>
        </w:rPr>
        <w:t>U.S. land forces not only conducting defensive operations but also offensive strikes against enemy targets from forward bases. If such positions do not exist or have been overrun, they must be seized or liberated. Hence, the role for major amphibious operations.</w:t>
      </w:r>
    </w:p>
    <w:p w:rsidR="00643CB6" w:rsidRPr="00F509F7" w:rsidRDefault="00CD5FD1" w:rsidP="00CD5FD1">
      <w:pPr>
        <w:pStyle w:val="a3"/>
        <w:spacing w:line="320" w:lineRule="exact"/>
        <w:ind w:left="119" w:firstLineChars="150" w:firstLine="315"/>
        <w:jc w:val="both"/>
        <w:rPr>
          <w:sz w:val="21"/>
          <w:szCs w:val="21"/>
        </w:rPr>
      </w:pPr>
      <w:r w:rsidRPr="00F509F7">
        <w:rPr>
          <w:sz w:val="21"/>
          <w:szCs w:val="21"/>
        </w:rPr>
        <w:t>The Navy and Marine Corps are acquiring new platforms and systems that will enhance the effectiveness of amphibious forces in operations across the spectrum of conflict. The stealthy F-35B, able to operate from large deck amphibs and small airfields, provides a particularly useful capability for attacking defended targets and providing targeting information for other platforms and weapons systems. Improved ship-to-shore connectors, including the MV-22 Osprey, the CH-53K heavy-lift helicopter, and air cushion landing craft will enable Marine Corps units to project power onto the land further and faster.</w:t>
      </w:r>
    </w:p>
    <w:p w:rsidR="00643CB6" w:rsidRPr="00F509F7" w:rsidRDefault="00CD5FD1" w:rsidP="00CD5FD1">
      <w:pPr>
        <w:pStyle w:val="a3"/>
        <w:spacing w:line="320" w:lineRule="exact"/>
        <w:ind w:left="119" w:firstLineChars="150" w:firstLine="315"/>
        <w:jc w:val="both"/>
        <w:rPr>
          <w:sz w:val="21"/>
          <w:szCs w:val="21"/>
        </w:rPr>
      </w:pPr>
      <w:r w:rsidRPr="00F509F7">
        <w:rPr>
          <w:sz w:val="21"/>
          <w:szCs w:val="21"/>
        </w:rPr>
        <w:t>The impact of new aviation assets on future amphibious operations cannot be overestimated. An analysis about the future of amphibious operations by the RAND Corporation observed that “Marine Corps aviation is on a path to significantly alter what even ARG/MEUs are capable of doing, and it is important to shape the rest of the force to acknowledge this change. An ARG/MEU with F-35Bs and MV-22s is not just capable of local influence, but can project power and provide defense in ways impossible just a few years ago.”</w:t>
      </w:r>
    </w:p>
    <w:p w:rsidR="00643CB6" w:rsidRPr="00F509F7" w:rsidRDefault="00CD5FD1" w:rsidP="000F54AE">
      <w:pPr>
        <w:pStyle w:val="a3"/>
        <w:spacing w:line="320" w:lineRule="exact"/>
        <w:ind w:left="119" w:firstLineChars="150" w:firstLine="315"/>
        <w:jc w:val="both"/>
        <w:rPr>
          <w:sz w:val="21"/>
          <w:szCs w:val="21"/>
        </w:rPr>
      </w:pPr>
      <w:r w:rsidRPr="00F509F7">
        <w:rPr>
          <w:sz w:val="21"/>
          <w:szCs w:val="21"/>
        </w:rPr>
        <w:t>More needs to be done to exploit the potential of amphibious warfare forces in the 21st Century. First and foremost, the Navy needs to acquire additional amphibious warfare vessels. The minimum desired level is 38 ships, the number needed to lift 2.5 Marine Expeditionary Brigades and the number required to conduct a major landing</w:t>
      </w:r>
      <w:r w:rsidR="000F54AE">
        <w:rPr>
          <w:rFonts w:eastAsiaTheme="minorEastAsia" w:hint="eastAsia"/>
          <w:sz w:val="21"/>
          <w:szCs w:val="21"/>
          <w:lang w:eastAsia="zh-CN"/>
        </w:rPr>
        <w:t xml:space="preserve"> </w:t>
      </w:r>
      <w:r w:rsidRPr="00F509F7">
        <w:rPr>
          <w:sz w:val="21"/>
          <w:szCs w:val="21"/>
        </w:rPr>
        <w:t>operation. Several analyses propose higher numbers, between 40 to 50 ships. In addition, the Navy needs to move forward with its plans to procure additional Landing Helicopter Assault ships, capable of operating the F-35B and MV-22, and to replace its aging Landing Ship Dock fleet with the larger and more capable LR(X).</w:t>
      </w:r>
    </w:p>
    <w:p w:rsidR="00643CB6" w:rsidRPr="00F509F7" w:rsidRDefault="00CD5FD1" w:rsidP="00CD5FD1">
      <w:pPr>
        <w:pStyle w:val="a3"/>
        <w:spacing w:line="320" w:lineRule="exact"/>
        <w:ind w:left="119" w:firstLineChars="150" w:firstLine="315"/>
        <w:jc w:val="both"/>
        <w:rPr>
          <w:sz w:val="21"/>
          <w:szCs w:val="21"/>
        </w:rPr>
      </w:pPr>
      <w:r w:rsidRPr="00F509F7">
        <w:rPr>
          <w:sz w:val="21"/>
          <w:szCs w:val="21"/>
        </w:rPr>
        <w:t>In anticipation of combat with more capable adversaries, U.S. amphibious forces will require greater reach and lethality. A study by the Center for Strategic and Budgetary Assessments proposes, inter alia, enhancing the aviation elements in the ARG/MEU, providing both amphibious ships and landing force with long-range fires and improving air and missile defense capabilities.</w:t>
      </w:r>
    </w:p>
    <w:p w:rsidR="00F509F7" w:rsidRPr="00F509F7" w:rsidRDefault="00CD5FD1" w:rsidP="00CD5FD1">
      <w:pPr>
        <w:pStyle w:val="a3"/>
        <w:spacing w:line="320" w:lineRule="exact"/>
        <w:ind w:left="119" w:firstLineChars="150" w:firstLine="315"/>
        <w:jc w:val="both"/>
        <w:rPr>
          <w:sz w:val="21"/>
          <w:szCs w:val="21"/>
        </w:rPr>
      </w:pPr>
      <w:r w:rsidRPr="00F509F7">
        <w:rPr>
          <w:sz w:val="21"/>
          <w:szCs w:val="21"/>
        </w:rPr>
        <w:t>The Marine Corps is looking for ways to provide its truck-mounted High Mobility Artillery Rocket System (HIMARS) with an anti-ship capability. It recently experimented with firing the HIMARS from the deck of an amphib. The Army’s Long-Range Protected Fires program, one of the service’s modernization priorities, also could be useful for long-range strikes by amphibious warfare forces. Naval forces operating within an adversary’s A2/AD umbrella could carry large numbers of cheap drones equipped with jammers and other electronic warfare systems to blind sensors and interrupt networks.</w:t>
      </w:r>
    </w:p>
    <w:p w:rsidR="00643CB6" w:rsidRPr="00F509F7" w:rsidRDefault="00CD5FD1" w:rsidP="00CD5FD1">
      <w:pPr>
        <w:pStyle w:val="a3"/>
        <w:spacing w:line="320" w:lineRule="exact"/>
        <w:ind w:left="119" w:firstLineChars="150" w:firstLine="315"/>
        <w:jc w:val="both"/>
        <w:rPr>
          <w:sz w:val="21"/>
          <w:szCs w:val="21"/>
        </w:rPr>
      </w:pPr>
      <w:r w:rsidRPr="00F509F7">
        <w:rPr>
          <w:sz w:val="21"/>
          <w:szCs w:val="21"/>
        </w:rPr>
        <w:t>Properly sized and configured and employing the right operational concepts, U.S. amphibious forces could be a powerful tool in a combatant commander’s arsenal.</w:t>
      </w:r>
    </w:p>
    <w:p w:rsidR="00643CB6" w:rsidRPr="00F509F7" w:rsidRDefault="00643CB6" w:rsidP="00CD5FD1">
      <w:pPr>
        <w:pStyle w:val="a3"/>
        <w:spacing w:line="320" w:lineRule="exact"/>
        <w:ind w:left="119" w:firstLineChars="150" w:firstLine="315"/>
        <w:jc w:val="both"/>
        <w:rPr>
          <w:sz w:val="21"/>
          <w:szCs w:val="21"/>
        </w:rPr>
      </w:pPr>
    </w:p>
    <w:p w:rsidR="00643CB6" w:rsidRPr="00F509F7" w:rsidRDefault="00643CB6" w:rsidP="00CD5FD1">
      <w:pPr>
        <w:pStyle w:val="a3"/>
        <w:spacing w:line="320" w:lineRule="exact"/>
        <w:ind w:left="119" w:firstLineChars="150" w:firstLine="315"/>
        <w:jc w:val="both"/>
        <w:rPr>
          <w:sz w:val="21"/>
          <w:szCs w:val="21"/>
        </w:rPr>
      </w:pPr>
    </w:p>
    <w:p w:rsidR="00643CB6" w:rsidRPr="00F509F7" w:rsidRDefault="00643CB6" w:rsidP="003751A3">
      <w:pPr>
        <w:pStyle w:val="a3"/>
        <w:spacing w:line="320" w:lineRule="exact"/>
        <w:jc w:val="both"/>
        <w:rPr>
          <w:sz w:val="21"/>
          <w:szCs w:val="21"/>
        </w:rPr>
      </w:pPr>
    </w:p>
    <w:sectPr w:rsidR="00643CB6" w:rsidRPr="00F509F7" w:rsidSect="00643CB6">
      <w:pgSz w:w="11900" w:h="16840"/>
      <w:pgMar w:top="1540" w:right="1620" w:bottom="280" w:left="16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6974" w:rsidRDefault="00AF6974" w:rsidP="00F509F7">
      <w:r>
        <w:separator/>
      </w:r>
    </w:p>
  </w:endnote>
  <w:endnote w:type="continuationSeparator" w:id="0">
    <w:p w:rsidR="00AF6974" w:rsidRDefault="00AF6974" w:rsidP="00F509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6974" w:rsidRDefault="00AF6974" w:rsidP="00F509F7">
      <w:r>
        <w:separator/>
      </w:r>
    </w:p>
  </w:footnote>
  <w:footnote w:type="continuationSeparator" w:id="0">
    <w:p w:rsidR="00AF6974" w:rsidRDefault="00AF6974" w:rsidP="00F509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2"/>
  <w:bordersDoNotSurroundHeader/>
  <w:bordersDoNotSurroundFooter/>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2"/>
  </w:compat>
  <w:rsids>
    <w:rsidRoot w:val="00643CB6"/>
    <w:rsid w:val="00004341"/>
    <w:rsid w:val="000F54AE"/>
    <w:rsid w:val="003751A3"/>
    <w:rsid w:val="00574ECC"/>
    <w:rsid w:val="00643CB6"/>
    <w:rsid w:val="007B29C3"/>
    <w:rsid w:val="00846CCF"/>
    <w:rsid w:val="009A0C47"/>
    <w:rsid w:val="00AF6974"/>
    <w:rsid w:val="00CD5FD1"/>
    <w:rsid w:val="00F509F7"/>
    <w:rsid w:val="00F9136C"/>
    <w:rsid w:val="1ADD1834"/>
    <w:rsid w:val="6DFC73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7095D6"/>
  <w15:docId w15:val="{5C8AF3B2-36CE-4DF1-B2CC-FAF9F8467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43CB6"/>
    <w:pPr>
      <w:widowControl w:val="0"/>
      <w:autoSpaceDE w:val="0"/>
      <w:autoSpaceDN w:val="0"/>
    </w:pPr>
    <w:rPr>
      <w:rFonts w:ascii="Times New Roman" w:eastAsia="Times New Roman" w:hAnsi="Times New Roman" w:cs="Times New Roman"/>
      <w:sz w:val="22"/>
      <w:szCs w:val="22"/>
      <w:lang w:eastAsia="en-US" w:bidi="en-US"/>
    </w:rPr>
  </w:style>
  <w:style w:type="paragraph" w:styleId="1">
    <w:name w:val="heading 1"/>
    <w:basedOn w:val="a"/>
    <w:next w:val="a"/>
    <w:uiPriority w:val="1"/>
    <w:qFormat/>
    <w:rsid w:val="00643CB6"/>
    <w:pPr>
      <w:ind w:left="120"/>
      <w:outlineLvl w:val="0"/>
    </w:pPr>
    <w:rPr>
      <w:rFonts w:ascii="Arial" w:eastAsia="Arial" w:hAnsi="Arial" w:cs="Arial"/>
      <w:b/>
      <w:bCs/>
      <w:sz w:val="60"/>
      <w:szCs w:val="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643CB6"/>
    <w:rPr>
      <w:sz w:val="24"/>
      <w:szCs w:val="24"/>
    </w:rPr>
  </w:style>
  <w:style w:type="table" w:customStyle="1" w:styleId="TableNormal">
    <w:name w:val="Table Normal"/>
    <w:uiPriority w:val="2"/>
    <w:semiHidden/>
    <w:unhideWhenUsed/>
    <w:qFormat/>
    <w:rsid w:val="00643CB6"/>
    <w:tblPr>
      <w:tblCellMar>
        <w:top w:w="0" w:type="dxa"/>
        <w:left w:w="0" w:type="dxa"/>
        <w:bottom w:w="0" w:type="dxa"/>
        <w:right w:w="0" w:type="dxa"/>
      </w:tblCellMar>
    </w:tblPr>
  </w:style>
  <w:style w:type="paragraph" w:styleId="a4">
    <w:name w:val="List Paragraph"/>
    <w:basedOn w:val="a"/>
    <w:uiPriority w:val="1"/>
    <w:qFormat/>
    <w:rsid w:val="00643CB6"/>
  </w:style>
  <w:style w:type="paragraph" w:customStyle="1" w:styleId="TableParagraph">
    <w:name w:val="Table Paragraph"/>
    <w:basedOn w:val="a"/>
    <w:uiPriority w:val="1"/>
    <w:qFormat/>
    <w:rsid w:val="00643CB6"/>
  </w:style>
  <w:style w:type="paragraph" w:styleId="a5">
    <w:name w:val="header"/>
    <w:basedOn w:val="a"/>
    <w:link w:val="a6"/>
    <w:rsid w:val="00F509F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F509F7"/>
    <w:rPr>
      <w:rFonts w:ascii="Times New Roman" w:eastAsia="Times New Roman" w:hAnsi="Times New Roman" w:cs="Times New Roman"/>
      <w:sz w:val="18"/>
      <w:szCs w:val="18"/>
      <w:lang w:eastAsia="en-US" w:bidi="en-US"/>
    </w:rPr>
  </w:style>
  <w:style w:type="paragraph" w:styleId="a7">
    <w:name w:val="footer"/>
    <w:basedOn w:val="a"/>
    <w:link w:val="a8"/>
    <w:rsid w:val="00F509F7"/>
    <w:pPr>
      <w:tabs>
        <w:tab w:val="center" w:pos="4153"/>
        <w:tab w:val="right" w:pos="8306"/>
      </w:tabs>
      <w:snapToGrid w:val="0"/>
    </w:pPr>
    <w:rPr>
      <w:sz w:val="18"/>
      <w:szCs w:val="18"/>
    </w:rPr>
  </w:style>
  <w:style w:type="character" w:customStyle="1" w:styleId="a8">
    <w:name w:val="页脚 字符"/>
    <w:basedOn w:val="a0"/>
    <w:link w:val="a7"/>
    <w:rsid w:val="00F509F7"/>
    <w:rPr>
      <w:rFonts w:ascii="Times New Roman" w:eastAsia="Times New Roman" w:hAnsi="Times New Roman" w:cs="Times New Roman"/>
      <w:sz w:val="18"/>
      <w:szCs w:val="18"/>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1024</Words>
  <Characters>5841</Characters>
  <Application>Microsoft Office Word</Application>
  <DocSecurity>0</DocSecurity>
  <Lines>48</Lines>
  <Paragraphs>13</Paragraphs>
  <ScaleCrop>false</ScaleCrop>
  <Company/>
  <LinksUpToDate>false</LinksUpToDate>
  <CharactersWithSpaces>6852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5</cp:revision>
  <dcterms:created xsi:type="dcterms:W3CDTF">2018-12-17T08:03:00Z</dcterms:created>
  <dcterms:modified xsi:type="dcterms:W3CDTF">2019-01-15T12:59:00Z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